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6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6296"/>
      </w:tblGrid>
      <w:tr>
        <w:tc>
          <w:tcPr>
            <w:tcW w:w="2946" w:type="dxa"/>
          </w:tcPr>
          <w:p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1728015" cy="1747520"/>
                  <wp:effectExtent l="0" t="0" r="5715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427" cy="175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vMerge w:val="restart"/>
          </w:tcPr>
          <w:p>
            <w:pPr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sz w:val="44"/>
                <w:szCs w:val="44"/>
              </w:rPr>
              <w:t>Greetings Bard</w:t>
            </w:r>
          </w:p>
          <w:p>
            <w:pPr>
              <w:rPr>
                <w:rFonts w:ascii="Cambria" w:hAnsi="Cambria"/>
                <w:sz w:val="44"/>
                <w:szCs w:val="44"/>
              </w:rPr>
            </w:pPr>
          </w:p>
          <w:p>
            <w:pPr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sz w:val="44"/>
                <w:szCs w:val="44"/>
              </w:rPr>
              <w:t xml:space="preserve">For those who have been gifted </w:t>
            </w:r>
            <w:proofErr w:type="gramStart"/>
            <w:r>
              <w:rPr>
                <w:rFonts w:ascii="Cambria" w:hAnsi="Cambria"/>
                <w:sz w:val="44"/>
                <w:szCs w:val="44"/>
              </w:rPr>
              <w:t>this invite</w:t>
            </w:r>
            <w:proofErr w:type="gramEnd"/>
            <w:r>
              <w:rPr>
                <w:rFonts w:ascii="Cambria" w:hAnsi="Cambria"/>
                <w:sz w:val="44"/>
                <w:szCs w:val="44"/>
              </w:rPr>
              <w:t xml:space="preserve">, may bring this token and attend an audience with </w:t>
            </w:r>
            <w:proofErr w:type="spellStart"/>
            <w:r>
              <w:rPr>
                <w:rFonts w:ascii="Cambria" w:hAnsi="Cambria"/>
                <w:sz w:val="44"/>
                <w:szCs w:val="44"/>
              </w:rPr>
              <w:t>Ylenrith</w:t>
            </w:r>
            <w:proofErr w:type="spellEnd"/>
            <w:r>
              <w:rPr>
                <w:rFonts w:ascii="Cambria" w:hAnsi="Cambria"/>
                <w:sz w:val="44"/>
                <w:szCs w:val="44"/>
              </w:rPr>
              <w:t xml:space="preserve"> at the Equinox.</w:t>
            </w:r>
          </w:p>
          <w:p>
            <w:pPr>
              <w:rPr>
                <w:rFonts w:ascii="Cambria" w:hAnsi="Cambria"/>
                <w:sz w:val="44"/>
                <w:szCs w:val="44"/>
              </w:rPr>
            </w:pPr>
          </w:p>
          <w:p>
            <w:pPr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sz w:val="44"/>
                <w:szCs w:val="44"/>
              </w:rPr>
              <w:t>If their mind is sharp and they take what they find into sixteen, then the pitch and duration may be found for a motif that may be used to seek passage.</w:t>
            </w:r>
          </w:p>
          <w:p>
            <w:pPr>
              <w:rPr>
                <w:rFonts w:ascii="Cambria" w:hAnsi="Cambria"/>
                <w:sz w:val="44"/>
                <w:szCs w:val="44"/>
              </w:rPr>
            </w:pPr>
          </w:p>
          <w:p>
            <w:pPr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sz w:val="44"/>
                <w:szCs w:val="44"/>
              </w:rPr>
              <w:t xml:space="preserve">A tune should be fashioned for </w:t>
            </w:r>
            <w:proofErr w:type="spellStart"/>
            <w:r>
              <w:rPr>
                <w:rFonts w:ascii="Cambria" w:hAnsi="Cambria"/>
                <w:sz w:val="44"/>
                <w:szCs w:val="44"/>
              </w:rPr>
              <w:t>Ylenrith</w:t>
            </w:r>
            <w:proofErr w:type="spellEnd"/>
            <w:r>
              <w:rPr>
                <w:rFonts w:ascii="Cambria" w:hAnsi="Cambria"/>
                <w:sz w:val="44"/>
                <w:szCs w:val="44"/>
              </w:rPr>
              <w:t>, starting with the note of the mortal realm and ending in the note of the realm of the day.</w:t>
            </w:r>
          </w:p>
          <w:p>
            <w:pPr>
              <w:rPr>
                <w:rFonts w:ascii="Cambria" w:hAnsi="Cambria"/>
                <w:sz w:val="44"/>
                <w:szCs w:val="44"/>
              </w:rPr>
            </w:pPr>
          </w:p>
          <w:p>
            <w:pPr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sz w:val="44"/>
                <w:szCs w:val="44"/>
              </w:rPr>
              <w:t xml:space="preserve">The answers to the </w:t>
            </w:r>
            <w:r>
              <w:rPr>
                <w:rFonts w:ascii="Cambria" w:hAnsi="Cambria"/>
                <w:sz w:val="44"/>
                <w:szCs w:val="44"/>
              </w:rPr>
              <w:t>runes will</w:t>
            </w:r>
            <w:r>
              <w:rPr>
                <w:rFonts w:ascii="Cambria" w:hAnsi="Cambria"/>
                <w:sz w:val="44"/>
                <w:szCs w:val="44"/>
              </w:rPr>
              <w:t xml:space="preserve"> give you a motif that you </w:t>
            </w:r>
            <w:r>
              <w:rPr>
                <w:rFonts w:ascii="Cambria" w:hAnsi="Cambria"/>
                <w:sz w:val="44"/>
                <w:szCs w:val="44"/>
              </w:rPr>
              <w:t>must</w:t>
            </w:r>
            <w:r>
              <w:rPr>
                <w:rFonts w:ascii="Cambria" w:hAnsi="Cambria"/>
                <w:sz w:val="44"/>
                <w:szCs w:val="44"/>
              </w:rPr>
              <w:t xml:space="preserve"> work into your tune.</w:t>
            </w:r>
          </w:p>
          <w:p>
            <w:pPr>
              <w:rPr>
                <w:rFonts w:ascii="Cambria" w:hAnsi="Cambria"/>
                <w:sz w:val="44"/>
                <w:szCs w:val="44"/>
              </w:rPr>
            </w:pPr>
          </w:p>
          <w:p>
            <w:pPr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44"/>
                <w:szCs w:val="44"/>
              </w:rPr>
              <w:t xml:space="preserve">May the wisest and most creative be granted an </w:t>
            </w:r>
            <w:proofErr w:type="gramStart"/>
            <w:r>
              <w:rPr>
                <w:rFonts w:ascii="Cambria" w:hAnsi="Cambria"/>
                <w:sz w:val="44"/>
                <w:szCs w:val="44"/>
              </w:rPr>
              <w:t>audience.</w:t>
            </w:r>
            <w:proofErr w:type="gramEnd"/>
          </w:p>
        </w:tc>
      </w:tr>
      <w:tr>
        <w:tc>
          <w:tcPr>
            <w:tcW w:w="2946" w:type="dxa"/>
          </w:tcPr>
          <w:p>
            <w:r>
              <w:rPr>
                <w:noProof/>
                <w:lang w:eastAsia="en-GB"/>
              </w:rPr>
              <w:drawing>
                <wp:inline distT="0" distB="0" distL="0" distR="0">
                  <wp:extent cx="1709358" cy="1747520"/>
                  <wp:effectExtent l="0" t="0" r="5715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877" cy="174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vMerge/>
          </w:tcPr>
          <w:p/>
        </w:tc>
      </w:tr>
      <w:tr>
        <w:tc>
          <w:tcPr>
            <w:tcW w:w="2946" w:type="dxa"/>
          </w:tcPr>
          <w:p>
            <w:r>
              <w:rPr>
                <w:noProof/>
                <w:lang w:eastAsia="en-GB"/>
              </w:rPr>
              <w:drawing>
                <wp:inline distT="0" distB="0" distL="0" distR="0">
                  <wp:extent cx="1691193" cy="1686560"/>
                  <wp:effectExtent l="0" t="0" r="4445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411" cy="1692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vMerge/>
          </w:tcPr>
          <w:p/>
        </w:tc>
      </w:tr>
      <w:tr>
        <w:tc>
          <w:tcPr>
            <w:tcW w:w="2946" w:type="dxa"/>
          </w:tcPr>
          <w:p>
            <w:r>
              <w:rPr>
                <w:noProof/>
                <w:lang w:eastAsia="en-GB"/>
              </w:rPr>
              <w:drawing>
                <wp:inline distT="0" distB="0" distL="0" distR="0">
                  <wp:extent cx="1632857" cy="1584960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860" cy="1590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vMerge/>
          </w:tcPr>
          <w:p/>
        </w:tc>
      </w:tr>
      <w:tr>
        <w:tc>
          <w:tcPr>
            <w:tcW w:w="2946" w:type="dxa"/>
          </w:tcPr>
          <w:p>
            <w:r>
              <w:rPr>
                <w:noProof/>
                <w:lang w:eastAsia="en-GB"/>
              </w:rPr>
              <w:drawing>
                <wp:inline distT="0" distB="0" distL="0" distR="0">
                  <wp:extent cx="1661296" cy="166624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671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vMerge/>
          </w:tcPr>
          <w:p/>
        </w:tc>
      </w:tr>
    </w:tbl>
    <w:p/>
    <w:p/>
    <w:p>
      <w:r>
        <w:rPr>
          <w:noProof/>
          <w:lang w:eastAsia="en-GB"/>
        </w:rPr>
        <w:t xml:space="preserve">   </w:t>
      </w:r>
    </w:p>
    <w:sectPr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Rednock School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Young</dc:creator>
  <cp:lastModifiedBy>David Young</cp:lastModifiedBy>
  <cp:revision>1</cp:revision>
  <cp:lastPrinted>2014-04-17T15:15:00Z</cp:lastPrinted>
  <dcterms:created xsi:type="dcterms:W3CDTF">2014-04-17T14:26:00Z</dcterms:created>
  <dcterms:modified xsi:type="dcterms:W3CDTF">2014-04-17T15:15:00Z</dcterms:modified>
</cp:coreProperties>
</file>